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FEC6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3F2A844">
      <w:pPr>
        <w:spacing w:line="540" w:lineRule="exact"/>
        <w:jc w:val="center"/>
        <w:rPr>
          <w:rFonts w:ascii="方正小标宋_GBK" w:hAnsi="华文中宋" w:eastAsia="方正小标宋_GBK" w:cs="宋体"/>
          <w:b/>
          <w:kern w:val="0"/>
          <w:sz w:val="48"/>
          <w:szCs w:val="48"/>
        </w:rPr>
      </w:pPr>
    </w:p>
    <w:p w14:paraId="4E23143D">
      <w:pPr>
        <w:spacing w:line="540" w:lineRule="exact"/>
        <w:jc w:val="center"/>
        <w:rPr>
          <w:rFonts w:ascii="方正小标宋_GBK" w:hAnsi="华文中宋" w:eastAsia="方正小标宋_GBK" w:cs="宋体"/>
          <w:b/>
          <w:kern w:val="0"/>
          <w:sz w:val="48"/>
          <w:szCs w:val="48"/>
        </w:rPr>
      </w:pPr>
    </w:p>
    <w:p w14:paraId="205F80C9">
      <w:pPr>
        <w:spacing w:line="540" w:lineRule="exact"/>
        <w:jc w:val="center"/>
        <w:rPr>
          <w:rFonts w:ascii="方正小标宋_GBK" w:hAnsi="华文中宋" w:eastAsia="方正小标宋_GBK" w:cs="宋体"/>
          <w:b/>
          <w:kern w:val="0"/>
          <w:sz w:val="48"/>
          <w:szCs w:val="48"/>
        </w:rPr>
      </w:pPr>
    </w:p>
    <w:p w14:paraId="43093274">
      <w:pPr>
        <w:spacing w:line="540" w:lineRule="exact"/>
        <w:jc w:val="center"/>
        <w:rPr>
          <w:rFonts w:ascii="方正小标宋_GBK" w:hAnsi="华文中宋" w:eastAsia="方正小标宋_GBK" w:cs="宋体"/>
          <w:b/>
          <w:kern w:val="0"/>
          <w:sz w:val="48"/>
          <w:szCs w:val="48"/>
        </w:rPr>
      </w:pPr>
    </w:p>
    <w:p w14:paraId="22F6AEB4">
      <w:pPr>
        <w:spacing w:line="540" w:lineRule="exact"/>
        <w:jc w:val="center"/>
        <w:rPr>
          <w:rFonts w:ascii="方正小标宋_GBK" w:hAnsi="华文中宋" w:eastAsia="方正小标宋_GBK" w:cs="宋体"/>
          <w:b/>
          <w:kern w:val="0"/>
          <w:sz w:val="48"/>
          <w:szCs w:val="48"/>
        </w:rPr>
      </w:pPr>
    </w:p>
    <w:p w14:paraId="58E9EEEF">
      <w:pPr>
        <w:spacing w:line="540" w:lineRule="exact"/>
        <w:jc w:val="center"/>
        <w:rPr>
          <w:rFonts w:ascii="方正小标宋_GBK" w:hAnsi="华文中宋" w:eastAsia="方正小标宋_GBK" w:cs="宋体"/>
          <w:b/>
          <w:kern w:val="0"/>
          <w:sz w:val="48"/>
          <w:szCs w:val="48"/>
        </w:rPr>
      </w:pPr>
    </w:p>
    <w:p w14:paraId="79FE008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5B6545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66CAF2A">
      <w:pPr>
        <w:spacing w:line="540" w:lineRule="exact"/>
        <w:jc w:val="center"/>
        <w:rPr>
          <w:rFonts w:ascii="华文中宋" w:hAnsi="华文中宋" w:eastAsia="华文中宋" w:cs="宋体"/>
          <w:b/>
          <w:kern w:val="0"/>
          <w:sz w:val="52"/>
          <w:szCs w:val="52"/>
        </w:rPr>
      </w:pPr>
    </w:p>
    <w:p w14:paraId="60422FC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A5674AE">
      <w:pPr>
        <w:spacing w:line="700" w:lineRule="exact"/>
        <w:jc w:val="left"/>
        <w:rPr>
          <w:rFonts w:hint="eastAsia" w:hAnsi="宋体" w:eastAsia="仿宋_GB2312" w:cs="宋体"/>
          <w:kern w:val="0"/>
          <w:sz w:val="36"/>
          <w:szCs w:val="36"/>
        </w:rPr>
      </w:pPr>
    </w:p>
    <w:p w14:paraId="2DB96216">
      <w:pPr>
        <w:spacing w:line="700" w:lineRule="exact"/>
        <w:jc w:val="left"/>
        <w:rPr>
          <w:rFonts w:hint="eastAsia" w:hAnsi="宋体" w:eastAsia="仿宋_GB2312" w:cs="宋体"/>
          <w:kern w:val="0"/>
          <w:sz w:val="36"/>
          <w:szCs w:val="36"/>
        </w:rPr>
      </w:pPr>
    </w:p>
    <w:p w14:paraId="77C9A216">
      <w:pPr>
        <w:spacing w:line="700" w:lineRule="exact"/>
        <w:jc w:val="left"/>
        <w:rPr>
          <w:rFonts w:hint="eastAsia" w:hAnsi="宋体" w:eastAsia="仿宋_GB2312" w:cs="宋体"/>
          <w:kern w:val="0"/>
          <w:sz w:val="36"/>
          <w:szCs w:val="36"/>
          <w:lang w:eastAsia="zh-CN"/>
        </w:rPr>
      </w:pPr>
    </w:p>
    <w:p w14:paraId="239EEAC1">
      <w:pPr>
        <w:spacing w:line="700" w:lineRule="exact"/>
        <w:jc w:val="left"/>
        <w:rPr>
          <w:rFonts w:hint="eastAsia" w:hAnsi="宋体" w:eastAsia="仿宋_GB2312" w:cs="宋体"/>
          <w:kern w:val="0"/>
          <w:sz w:val="36"/>
          <w:szCs w:val="36"/>
          <w:lang w:eastAsia="zh-CN"/>
        </w:rPr>
      </w:pPr>
    </w:p>
    <w:p w14:paraId="16C238B9">
      <w:pPr>
        <w:spacing w:line="700" w:lineRule="exact"/>
        <w:jc w:val="left"/>
        <w:rPr>
          <w:rFonts w:hint="eastAsia" w:hAnsi="宋体" w:eastAsia="仿宋_GB2312" w:cs="宋体"/>
          <w:kern w:val="0"/>
          <w:sz w:val="36"/>
          <w:szCs w:val="36"/>
          <w:lang w:eastAsia="zh-CN"/>
        </w:rPr>
      </w:pPr>
    </w:p>
    <w:p w14:paraId="0FEB0AE5">
      <w:pPr>
        <w:spacing w:line="700" w:lineRule="exact"/>
        <w:jc w:val="left"/>
        <w:rPr>
          <w:rFonts w:hint="eastAsia" w:hAnsi="宋体" w:eastAsia="仿宋_GB2312" w:cs="宋体"/>
          <w:kern w:val="0"/>
          <w:sz w:val="36"/>
          <w:szCs w:val="36"/>
          <w:lang w:eastAsia="zh-CN"/>
        </w:rPr>
      </w:pPr>
    </w:p>
    <w:p w14:paraId="482E969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克州平原林场</w:t>
      </w:r>
    </w:p>
    <w:p w14:paraId="343EA766">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1C3415DC">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CFECAD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FA0B3F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平原林场是自治州林业局下属的造林与管护相结合，生态与产业相结合发展的公益性事业单位，机构规格相当于正科级。克孜勒苏柯尔克孜自治州平原林场成立于1974年，共有克青孜分场、康西湾分场和葡萄基地队等两个分场一个队。具体职能为：</w:t>
      </w:r>
      <w:r>
        <w:rPr>
          <w:rFonts w:hint="eastAsia" w:ascii="仿宋_GB2312" w:hAnsi="宋体" w:eastAsia="仿宋_GB2312"/>
          <w:b w:val="0"/>
          <w:bCs/>
          <w:sz w:val="32"/>
          <w:szCs w:val="32"/>
        </w:rPr>
        <w:cr/>
      </w:r>
      <w:r>
        <w:rPr>
          <w:rFonts w:hint="eastAsia" w:ascii="仿宋_GB2312" w:hAnsi="宋体" w:eastAsia="仿宋_GB2312"/>
          <w:b w:val="0"/>
          <w:bCs/>
          <w:sz w:val="32"/>
          <w:szCs w:val="32"/>
        </w:rPr>
        <w:t>　　依法管理好现有的森林、林木和林地资源，很大程度的发挥现有资源的生态效益、社会效益和经济效益。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根据《自治区党委、人民政府关于进一步加快林业发展的意见》精神充分利用现有荒地资源建设好生态公益林对于自治州的生态建设做贡献。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根据上级林业部门的要求建立好林果业发展示范基地，对于自治州</w:t>
      </w:r>
      <w:r>
        <w:rPr>
          <w:rFonts w:hint="eastAsia" w:ascii="仿宋_GB2312" w:hAnsi="宋体" w:eastAsia="仿宋_GB2312"/>
          <w:b w:val="0"/>
          <w:bCs/>
          <w:sz w:val="32"/>
          <w:szCs w:val="32"/>
          <w:lang w:eastAsia="zh-CN"/>
        </w:rPr>
        <w:t>的</w:t>
      </w:r>
      <w:r>
        <w:rPr>
          <w:rFonts w:hint="eastAsia" w:ascii="仿宋_GB2312" w:hAnsi="宋体" w:eastAsia="仿宋_GB2312"/>
          <w:b w:val="0"/>
          <w:bCs/>
          <w:sz w:val="32"/>
          <w:szCs w:val="32"/>
        </w:rPr>
        <w:t>特色林果业建设起到样板作用。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做好林场的多种经营工作，为职工子女安置积极创造条件缓解社会就业压力。</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完成上级党委政府和业务部门安排的相关工作任务。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克孜勒苏柯尔克孜自治州平原林场无下属单位，无下设科室。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克孜勒苏柯尔克孜自治州平原林场编制数49名，实有人数141 人，其中：在职55人，退休59人,供养人员22人。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们领导班子在州林草局党组的正确领导和关怀下，上级业务部门的大力支持下，我场干部职工的共同努力下，进一步增强“四个意识”、坚定“四个自信”、做到“两个维护”，坚持以习近平新时代中国特色社会主义思想为指导，坚决贯彻落实党的十九大和十九届二中、三中、四中、五中、六中全会精神，贯彻落实习近平总书记在庆祝中国共产党成立100周年大会上的重要讲话精神，贯彻落实中央民族工作会议和第三次中央新疆工作座谈会精神，贯彻落实新时代党的治疆方略特别是社会稳定和长治久安总目标，坚持疫情防控工作宗旨,把党的建设摆在首位，强化党风廉政建设和作风建设，班子党风廉政和廉洁自律取得新成效。 学习贯彻落实各级会议精神，围绕中心、服务大局。抓部署抓计划，推动党史学习教育开好头。抓活动抓载体，确保党史学习教育有抓手。抓模范抓办事，助力“我为群众办实事”实践活动。加强维护社会稳定工作。加强反腐倡廉教育，提高拒腐防变能力。深入开展普法教育宣传。疫情防控工作常态化推进。扎实做好安全生产、护林防火，全面推行林长制。</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平原林场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（2）收支管理：领导层是本单位收支业务管理的决策部门，负责审批单位收支业务等事项。涉及“三重一大”事项，根据《克州平原林场集体决策制度》和《克州平原林场项目管理办法》办理。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平原林场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平原林场合同管理办法》相关规定，克州平原林场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847.69万元，项目支出安排资金18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本单位2021年度项目支出18万元，涉及项目数量2个，其中：重点项目支出10万元，涉及重点项目数量1个，重点项目支出与部门项目总支出的比率为55.56%。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2021年度本单位年初批复部门预算资金总额为767.68万元，年中调增预算总额为98.01万元，调整后全年预算资金总额为865.69万元。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2021年度本单位部门整体支出资金总额为865.69万元，预算执行率为100%，预算调整率为</w:t>
      </w:r>
      <w:r>
        <w:rPr>
          <w:rFonts w:hint="eastAsia" w:ascii="仿宋_GB2312" w:hAnsi="宋体" w:eastAsia="仿宋_GB2312"/>
          <w:b w:val="0"/>
          <w:bCs/>
          <w:sz w:val="32"/>
          <w:szCs w:val="32"/>
          <w:lang w:val="en-US" w:eastAsia="zh-CN"/>
        </w:rPr>
        <w:t>12.77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年初政府采购预算数为20.68万元，实际政府采购数为0万元，政府采购执行率为0%。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96DA52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0D31EF8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为加强我单位预算管理、规范财务行为我单位制定了《克州平原林场内部控制规范》《克州平原林场项目管理规范》等资金管理制度，已建立制度均健全且有效运行。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2021年度我单位基本支出预算总额为847.69万元，其中人员经费822.22万元，公用经费25.47万元。实际执行总额为847.69万元，预算执行率100%。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0.22万元，比上年减少0.88万元，减少79.69%，主要原因是：按照厉行节约的要求，2021年缩减公务车运行维护费，因此支出随之减少。其中，因公出国（境）费支出0万元；公务用车购置及运行维护费支出0.22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与年初预算数相比情况：一般公共预算“三公”经费支出年初预算数2万元，预算执行数为0.22万元，执行率为11%，主要原因是：按照厉行节约的要求，2021年缩减公务车运行维护费，因此支出随之减少。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2021年度本单位项目支出预算总额为18万元，实际执行资金总额为18万元，预算执行率为100%。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2021年度预算安排专项资金8万元，实际支出资金8万元，预算执行率为100%，涉及项目个数1个。专项经费按照政策要求实行专款专用，不存在截留、挤占、挪用、虚列支出。各项目详细执行情况如下：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晚熟杏优质高效栽培示范园项目:全年预算数为8万元，预算执行数为8万元，预算执行率为100%。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2021年度预算安排本级财力资金10万元，实际支出资金10万元，预算执行率为100%，涉及项目个数1个，各项目详细执行情况如下：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造林补助项目项目:全年预算数为10万元，预算执行数为10万元，预算执行率为100%。</w:t>
      </w:r>
    </w:p>
    <w:p w14:paraId="3BB1571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7210B9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晚熟杏优质高效栽培示范园项目：克州财政局下达关于拨付2021年自治区财政林业专项资金的通知（克财建【2021】22号）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8万元，资金全部到位，实际使用资金8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①制订《克州平原林场经费使用规范》,为合理合规使用经费提供了有力的制度保障。同时,建立区委组织部项目经费内部管控制度，并严格按要求落实。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晚熟杏优质高效栽培示范园项目：主要用于晚熟杏优质高效栽培示范园，有利于实施100亩晚熟杏优质高效栽培示范工作，为提高晚熟杏成活率，提供优质和栽培适应性广的新品种，将进一步利用极晚熟杏树嫁接，培育出口感好、外观美、成熟期适宜的优质杏品种，来促进果农增产增收。</w:t>
      </w:r>
    </w:p>
    <w:p w14:paraId="2FDDD57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0E744D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本单位2021年初资产合计数为427.86万元，年末资产合计数为370.96万元。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截止本年度固定资产账面净值359.11万元，年末实际在用固定资产359.11万元，固定资产利用率为100%。</w:t>
      </w:r>
    </w:p>
    <w:p w14:paraId="03FBC9A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6CF6940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部门单位整体支出共设置一级指标3个，二级指标8个，三级指标15个，其中已完成三级指标15个，指标完成率为100%。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“保障人员工资”指标：预期指标值为=141人，实际完成指标值为141人，指标完成率为100%。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“采购树苗”指标：预期指标值为=7450棵，实际完成指标值为7450棵，指标完成率为100%。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“补助支教人员人数”指标：预期指标值为=4人，实际完成指标值为4人，指标完成率为100%。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“采购M904-B型号拖拉机”指标：预期指标值为=1台，实际完成指标值为1台，指标完成率为100%。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“树苗成活率”指标：预期指标值为&gt;=90%，实际完成指标值为90%，指标完成率为100%。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“人员经费”指标：预期指标值为&lt;=730.14万元，实际完成指标值为730.14万元，指标完成率为100%。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“公用经费”指标：预期指标值为=27.54万元，实际完成指标值为27.54万元，指标完成率为100%。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“项目支出”指标：预期指标值为=10万元，实际完成指标值为10万元，指标完成率为100%。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“提升业务保障能力”指标：预期指标值为有效提升，实际完成指标值为有效提升，指标完成率为100%。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“改善生态环境”指标：预期指标值为有效改善，实际完成指标值为有效改善，指标完成率为100%。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“促进林业经济的可持续发展”指标：预期指标值为长期，实际完成指标值为长期，指标完成率为100%。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14:paraId="1938720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5BBBF6F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B77A37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001F362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50D38C8"/>
    <w:rsid w:val="200F4073"/>
    <w:rsid w:val="24B86128"/>
    <w:rsid w:val="30635D03"/>
    <w:rsid w:val="40255CE0"/>
    <w:rsid w:val="51C70EA9"/>
    <w:rsid w:val="54F842B6"/>
    <w:rsid w:val="57AB3D43"/>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9247</Words>
  <Characters>9640</Characters>
  <Lines>2</Lines>
  <Paragraphs>1</Paragraphs>
  <TotalTime>0</TotalTime>
  <ScaleCrop>false</ScaleCrop>
  <LinksUpToDate>false</LinksUpToDate>
  <CharactersWithSpaces>9932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2025-07-31T03:22:56Z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